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eastAsia="zh-CN" w:bidi="ar"/>
        </w:rPr>
        <w:t>6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Hans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Hans" w:bidi="ar"/>
        </w:rPr>
        <w:t>江苏高校百校万名团干部思政技能大比武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zh-CN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zh-CN" w:eastAsia="zh-CN" w:bidi="ar"/>
        </w:rPr>
        <w:t>（基层团支部书记专项赛）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Hans" w:bidi="ar"/>
        </w:rPr>
        <w:t>主题团日活动评审标准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6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评审内容</w:t>
            </w:r>
          </w:p>
        </w:tc>
        <w:tc>
          <w:tcPr>
            <w:tcW w:w="606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vertAlign w:val="baseline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评审要求</w:t>
            </w:r>
            <w: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共</w:t>
            </w:r>
            <w: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100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分</w:t>
            </w:r>
            <w: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政治方向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（35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分</w:t>
            </w:r>
            <w: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）</w:t>
            </w:r>
          </w:p>
        </w:tc>
        <w:tc>
          <w:tcPr>
            <w:tcW w:w="606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vertAlign w:val="baseline"/>
                <w:lang w:val="en-US" w:eastAsia="zh-Hans" w:bidi="ar"/>
              </w:rPr>
            </w:pPr>
            <w:r>
              <w:rPr>
                <w:rFonts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CN" w:bidi="ar"/>
              </w:rPr>
              <w:t>体现政治高度，准确阐释题目的概念与内涵，把“是什</w:t>
            </w:r>
            <w:r>
              <w:rPr>
                <w:rFonts w:hint="eastAsia"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CN" w:bidi="ar"/>
              </w:rPr>
              <w:t>么”“为什么”“怎么做”讲清楚、讲明白，能展现高校基层团支部引领青年学生思想，凝聚青春力量的组织价值。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活动导向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（35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分</w:t>
            </w:r>
            <w: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）</w:t>
            </w:r>
          </w:p>
        </w:tc>
        <w:tc>
          <w:tcPr>
            <w:tcW w:w="606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vertAlign w:val="baseline"/>
                <w:lang w:val="en-US" w:eastAsia="zh-Hans" w:bidi="ar"/>
              </w:rPr>
            </w:pPr>
            <w:r>
              <w:rPr>
                <w:rFonts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CN" w:bidi="ar"/>
              </w:rPr>
              <w:t>善于运用历史和现实、国际和国内的对比，紧扣青年学</w:t>
            </w:r>
            <w:r>
              <w:rPr>
                <w:rFonts w:hint="eastAsia"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CN" w:bidi="ar"/>
              </w:rPr>
              <w:t>生的心理特点、成长规律、知识结构，有效运用表达方式和传播艺术，引起学生共鸣，有较强说服力。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逻辑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（20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分</w:t>
            </w:r>
            <w: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）</w:t>
            </w:r>
          </w:p>
        </w:tc>
        <w:tc>
          <w:tcPr>
            <w:tcW w:w="606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vertAlign w:val="baseline"/>
                <w:lang w:val="en-US" w:eastAsia="zh-Hans" w:bidi="ar"/>
              </w:rPr>
            </w:pPr>
            <w:r>
              <w:rPr>
                <w:rFonts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CN" w:bidi="ar"/>
              </w:rPr>
              <w:t>论点论据逻辑严密，条理清晰，能有效融入思想政治教</w:t>
            </w:r>
            <w:r>
              <w:rPr>
                <w:rFonts w:hint="eastAsia"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育相关要素。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活动效果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（10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Hans" w:bidi="ar"/>
              </w:rPr>
              <w:t>分</w:t>
            </w:r>
            <w:r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Hans" w:bidi="ar"/>
              </w:rPr>
              <w:t>）</w:t>
            </w:r>
          </w:p>
        </w:tc>
        <w:tc>
          <w:tcPr>
            <w:tcW w:w="606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vertAlign w:val="baseline"/>
                <w:lang w:val="en-US" w:eastAsia="zh-Hans" w:bidi="ar"/>
              </w:rPr>
            </w:pPr>
            <w:r>
              <w:rPr>
                <w:rFonts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CN" w:bidi="ar"/>
              </w:rPr>
              <w:t>目标明确、达到预期。能结合团员青年身心特点，培养</w:t>
            </w:r>
            <w:r>
              <w:rPr>
                <w:rFonts w:hint="eastAsia"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CN" w:bidi="ar"/>
              </w:rPr>
              <w:t>团员意识，增强对党、团组织的理解和认同，共鸣感强，</w:t>
            </w:r>
            <w:r>
              <w:rPr>
                <w:rFonts w:hint="eastAsia"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Hans" w:bidi="ar"/>
              </w:rPr>
              <w:t>活动</w:t>
            </w:r>
            <w:r>
              <w:rPr>
                <w:rFonts w:hint="eastAsia" w:ascii="FZFSK--GBK1-0" w:hAnsi="FZFSK--GBK1-0" w:eastAsia="FZFSK--GBK1-0" w:cs="FZFSK--GBK1-0"/>
                <w:color w:val="000000"/>
                <w:kern w:val="0"/>
                <w:sz w:val="28"/>
                <w:szCs w:val="28"/>
                <w:lang w:val="en-US" w:eastAsia="zh-CN" w:bidi="ar"/>
              </w:rPr>
              <w:t>效果好。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K--GBK1-0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764BE"/>
    <w:rsid w:val="4597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2022-04-04T13:42:00Z</dcterms:created>
  <dc:creator>11</dc:creator>
  <cp:lastModifiedBy>11</cp:lastModifiedBy>
  <dcterms:modified xsi:type="dcterms:W3CDTF">2022-04-04T13:42:35Z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0D14E78571BD4112B282A72DF12FE845</vt:lpwstr>
  </property>
</Properties>
</file>